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A50FFD" w:rsidRDefault="00A50FFD" w:rsidP="00A50F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towards long-ter</w:t>
      </w:r>
      <w:r w:rsidR="000B6582">
        <w:rPr>
          <w:rFonts w:ascii="Arial" w:hAnsi="Arial" w:cs="Arial"/>
          <w:b/>
        </w:rPr>
        <w:t>m land surface temperature data</w:t>
      </w:r>
      <w:r>
        <w:rPr>
          <w:rFonts w:ascii="Arial" w:hAnsi="Arial" w:cs="Arial"/>
          <w:b/>
        </w:rPr>
        <w:t>sets for climate studies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C6C8B" w:rsidRPr="000B6582" w:rsidRDefault="00A50FFD" w:rsidP="00DC6C8B">
      <w:pPr>
        <w:rPr>
          <w:rFonts w:ascii="Arial" w:hAnsi="Arial" w:cs="Arial"/>
          <w:i/>
        </w:rPr>
      </w:pPr>
      <w:r w:rsidRPr="000B6582">
        <w:rPr>
          <w:rFonts w:ascii="Arial" w:hAnsi="Arial" w:cs="Arial"/>
          <w:b/>
          <w:bCs/>
          <w:i/>
          <w:spacing w:val="-1"/>
          <w:position w:val="-2"/>
          <w:lang w:val="en-GB" w:eastAsia="en-GB"/>
        </w:rPr>
        <w:t>J. Remedios</w:t>
      </w:r>
      <w:r w:rsidR="00DA272C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DA272C" w:rsidRPr="000B6582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0B6582">
        <w:rPr>
          <w:rFonts w:ascii="Arial" w:hAnsi="Arial" w:cs="Arial"/>
          <w:b/>
          <w:bCs/>
          <w:i/>
          <w:spacing w:val="9"/>
          <w:position w:val="-2"/>
          <w:lang w:val="en-GB" w:eastAsia="en-GB"/>
        </w:rPr>
        <w:t xml:space="preserve"> </w:t>
      </w:r>
      <w:r w:rsidRPr="000B6582">
        <w:rPr>
          <w:rFonts w:ascii="Arial" w:hAnsi="Arial" w:cs="Arial"/>
          <w:b/>
          <w:bCs/>
          <w:i/>
          <w:position w:val="-2"/>
          <w:lang w:val="en-GB" w:eastAsia="en-GB"/>
        </w:rPr>
        <w:t>D. Ghent</w:t>
      </w:r>
      <w:r w:rsidR="00DA272C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DA272C" w:rsidRPr="000B6582">
        <w:rPr>
          <w:rFonts w:ascii="Arial" w:hAnsi="Arial" w:cs="Arial"/>
          <w:b/>
          <w:bCs/>
          <w:i/>
          <w:position w:val="-2"/>
          <w:lang w:val="en-GB" w:eastAsia="en-GB"/>
        </w:rPr>
        <w:t>,</w:t>
      </w:r>
      <w:r w:rsidR="00DA272C" w:rsidRPr="000B6582">
        <w:rPr>
          <w:rFonts w:ascii="Arial" w:hAnsi="Arial" w:cs="Arial"/>
          <w:b/>
          <w:bCs/>
          <w:i/>
          <w:spacing w:val="12"/>
          <w:position w:val="-2"/>
          <w:lang w:val="en-GB" w:eastAsia="en-GB"/>
        </w:rPr>
        <w:t xml:space="preserve"> </w:t>
      </w:r>
      <w:r w:rsidR="00DC6C8B" w:rsidRPr="000B6582">
        <w:rPr>
          <w:rFonts w:ascii="Arial" w:hAnsi="Arial" w:cs="Arial"/>
          <w:b/>
          <w:i/>
        </w:rPr>
        <w:t xml:space="preserve">C. </w:t>
      </w:r>
      <w:proofErr w:type="spellStart"/>
      <w:r w:rsidR="00DC6C8B" w:rsidRPr="000B6582">
        <w:rPr>
          <w:rFonts w:ascii="Arial" w:hAnsi="Arial" w:cs="Arial"/>
          <w:b/>
          <w:i/>
        </w:rPr>
        <w:t>Bulgin</w:t>
      </w:r>
      <w:proofErr w:type="spellEnd"/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DC6C8B" w:rsidRPr="000B6582">
        <w:rPr>
          <w:rFonts w:ascii="Arial" w:hAnsi="Arial" w:cs="Arial"/>
          <w:b/>
          <w:i/>
        </w:rPr>
        <w:t xml:space="preserve">, F. </w:t>
      </w:r>
      <w:proofErr w:type="spellStart"/>
      <w:r w:rsidR="00DC6C8B" w:rsidRPr="000B6582">
        <w:rPr>
          <w:rFonts w:ascii="Arial" w:hAnsi="Arial" w:cs="Arial"/>
          <w:b/>
          <w:i/>
        </w:rPr>
        <w:t>Goettsche</w:t>
      </w:r>
      <w:proofErr w:type="spellEnd"/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3</w:t>
      </w:r>
      <w:r w:rsidR="00DC6C8B" w:rsidRPr="000B6582">
        <w:rPr>
          <w:rFonts w:ascii="Arial" w:hAnsi="Arial" w:cs="Arial"/>
          <w:b/>
          <w:i/>
        </w:rPr>
        <w:t>, S. Hook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4</w:t>
      </w:r>
      <w:r w:rsidR="00DC6C8B" w:rsidRPr="000B6582">
        <w:rPr>
          <w:rFonts w:ascii="Arial" w:hAnsi="Arial" w:cs="Arial"/>
          <w:b/>
          <w:i/>
        </w:rPr>
        <w:t>, G. Hulley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4</w:t>
      </w:r>
      <w:r w:rsidR="00DC6C8B" w:rsidRPr="000B6582">
        <w:rPr>
          <w:rFonts w:ascii="Arial" w:hAnsi="Arial" w:cs="Arial"/>
          <w:b/>
          <w:i/>
        </w:rPr>
        <w:t>, C. Jimenez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5</w:t>
      </w:r>
      <w:r w:rsidR="00DC6C8B" w:rsidRPr="000B6582">
        <w:rPr>
          <w:rFonts w:ascii="Arial" w:hAnsi="Arial" w:cs="Arial"/>
          <w:b/>
          <w:i/>
        </w:rPr>
        <w:t>, C. Merchant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DC6C8B" w:rsidRPr="000B6582">
        <w:rPr>
          <w:rFonts w:ascii="Arial" w:hAnsi="Arial" w:cs="Arial"/>
          <w:b/>
          <w:i/>
        </w:rPr>
        <w:t>, S. Pinnock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6</w:t>
      </w:r>
      <w:r w:rsidR="00DC6C8B" w:rsidRPr="000B6582">
        <w:rPr>
          <w:rFonts w:ascii="Arial" w:hAnsi="Arial" w:cs="Arial"/>
          <w:b/>
          <w:i/>
        </w:rPr>
        <w:t>, C. Prigent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5</w:t>
      </w:r>
      <w:r w:rsidR="00DC6C8B" w:rsidRPr="000B6582">
        <w:rPr>
          <w:rFonts w:ascii="Arial" w:hAnsi="Arial" w:cs="Arial"/>
          <w:b/>
          <w:i/>
        </w:rPr>
        <w:t>, L. Schueller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7</w:t>
      </w:r>
      <w:r w:rsidR="00DC6C8B" w:rsidRPr="000B6582">
        <w:rPr>
          <w:rFonts w:ascii="Arial" w:hAnsi="Arial" w:cs="Arial"/>
          <w:b/>
          <w:i/>
        </w:rPr>
        <w:t>, I. Trigo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8</w:t>
      </w:r>
      <w:r w:rsidR="00DC6C8B" w:rsidRPr="000B6582">
        <w:rPr>
          <w:rFonts w:ascii="Arial" w:hAnsi="Arial" w:cs="Arial"/>
          <w:b/>
          <w:i/>
        </w:rPr>
        <w:t>, Y. Yu</w:t>
      </w:r>
      <w:r w:rsidR="00DC6C8B" w:rsidRPr="000B6582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9</w:t>
      </w:r>
    </w:p>
    <w:p w:rsidR="00DA272C" w:rsidRPr="00CC27BC" w:rsidRDefault="00DA272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A50FFD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Nationa</w:t>
      </w:r>
      <w:r w:rsidR="00DC6C8B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 xml:space="preserve">l Centre for Earth Observation, </w:t>
      </w:r>
      <w:r w:rsidR="00A50FFD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University of Leicester, UK</w:t>
      </w:r>
    </w:p>
    <w:p w:rsidR="00CC27BC" w:rsidRDefault="00DA272C" w:rsidP="00FD34CE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2</w:t>
      </w:r>
      <w:r w:rsidR="00DC6C8B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National Centre for Earth Observation, Dept. of Meteorology, University of Reading, UK</w:t>
      </w:r>
    </w:p>
    <w:p w:rsid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3</w:t>
      </w:r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KIT, Karlsruhe, Germany</w:t>
      </w:r>
    </w:p>
    <w:p w:rsid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4</w:t>
      </w:r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JPL, Pasadena, USA</w:t>
      </w:r>
    </w:p>
    <w:p w:rsid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5</w:t>
      </w:r>
      <w:proofErr w:type="spellStart"/>
      <w:r w:rsidR="000B6582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0B6582" w:rsidRPr="000B6582">
        <w:rPr>
          <w:rFonts w:ascii="Arial" w:eastAsia="Times New Roman" w:hAnsi="Arial" w:cs="Arial"/>
          <w:color w:val="000000"/>
          <w:sz w:val="20"/>
          <w:szCs w:val="20"/>
        </w:rPr>
        <w:t>'Observatoire</w:t>
      </w:r>
      <w:proofErr w:type="spellEnd"/>
      <w:r w:rsidR="000B6582" w:rsidRPr="000B6582">
        <w:rPr>
          <w:rFonts w:ascii="Arial" w:eastAsia="Times New Roman" w:hAnsi="Arial" w:cs="Arial"/>
          <w:color w:val="000000"/>
          <w:sz w:val="20"/>
          <w:szCs w:val="20"/>
        </w:rPr>
        <w:t xml:space="preserve"> de Paris</w:t>
      </w:r>
      <w:r w:rsidR="000B6582">
        <w:rPr>
          <w:rFonts w:ascii="Arial" w:eastAsia="Times New Roman" w:hAnsi="Arial" w:cs="Arial"/>
          <w:color w:val="000000"/>
          <w:sz w:val="20"/>
          <w:szCs w:val="20"/>
        </w:rPr>
        <w:t>, Paris, France</w:t>
      </w:r>
    </w:p>
    <w:p w:rsid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6</w:t>
      </w:r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European Space Agency, ECSAT, Harwell</w:t>
      </w:r>
    </w:p>
    <w:p w:rsid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7</w:t>
      </w:r>
      <w:proofErr w:type="spellStart"/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Eumetsat</w:t>
      </w:r>
      <w:proofErr w:type="spellEnd"/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, Darmstadt</w:t>
      </w:r>
    </w:p>
    <w:p w:rsidR="00DC6C8B" w:rsidRP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8</w:t>
      </w:r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IPMA, Lisbon, Portugal</w:t>
      </w:r>
    </w:p>
    <w:p w:rsidR="00DC6C8B" w:rsidRDefault="00DC6C8B" w:rsidP="00DC6C8B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9</w:t>
      </w:r>
      <w:r w:rsidR="000B6582">
        <w:rPr>
          <w:rFonts w:ascii="Arial" w:hAnsi="Arial" w:cs="Arial"/>
          <w:i/>
          <w:iCs/>
          <w:position w:val="-1"/>
          <w:sz w:val="20"/>
          <w:szCs w:val="20"/>
          <w:lang w:val="en-GB" w:eastAsia="en-GB"/>
        </w:rPr>
        <w:t>NOAA/NESDIS, USA</w:t>
      </w:r>
    </w:p>
    <w:p w:rsidR="00A50FFD" w:rsidRPr="00D86510" w:rsidRDefault="00A50FFD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A50FFD" w:rsidRDefault="00A50FFD" w:rsidP="00A50FFD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Land surface temperature (LST) is the mean radiative temperature of all objects comprising a surface, as meas</w:t>
      </w:r>
      <w:r w:rsidR="007366BE">
        <w:rPr>
          <w:rFonts w:ascii="Arial" w:hAnsi="Arial" w:cs="Arial"/>
        </w:rPr>
        <w:t xml:space="preserve">ured by ground, air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space</w:t>
      </w:r>
      <w:r w:rsidR="007366BE">
        <w:rPr>
          <w:rFonts w:ascii="Arial" w:hAnsi="Arial" w:cs="Arial"/>
        </w:rPr>
        <w:t>borne</w:t>
      </w:r>
      <w:proofErr w:type="spellEnd"/>
      <w:r w:rsidR="007366BE">
        <w:rPr>
          <w:rFonts w:ascii="Arial" w:hAnsi="Arial" w:cs="Arial"/>
        </w:rPr>
        <w:t xml:space="preserve"> </w:t>
      </w:r>
      <w:proofErr w:type="spellStart"/>
      <w:r w:rsidR="007366BE">
        <w:rPr>
          <w:rFonts w:ascii="Arial" w:hAnsi="Arial" w:cs="Arial"/>
        </w:rPr>
        <w:t>sesnors</w:t>
      </w:r>
      <w:proofErr w:type="spellEnd"/>
      <w:r>
        <w:rPr>
          <w:rFonts w:ascii="Arial" w:hAnsi="Arial" w:cs="Arial"/>
        </w:rPr>
        <w:t>. It pro</w:t>
      </w:r>
      <w:r w:rsidR="007366BE">
        <w:rPr>
          <w:rFonts w:ascii="Arial" w:hAnsi="Arial" w:cs="Arial"/>
        </w:rPr>
        <w:t xml:space="preserve">vides </w:t>
      </w:r>
      <w:r>
        <w:rPr>
          <w:rFonts w:ascii="Arial" w:hAnsi="Arial" w:cs="Arial"/>
        </w:rPr>
        <w:t>the thermodynam</w:t>
      </w:r>
      <w:r w:rsidR="000B6582">
        <w:rPr>
          <w:rFonts w:ascii="Arial" w:hAnsi="Arial" w:cs="Arial"/>
        </w:rPr>
        <w:t>i</w:t>
      </w:r>
      <w:r w:rsidR="007366BE">
        <w:rPr>
          <w:rFonts w:ascii="Arial" w:hAnsi="Arial" w:cs="Arial"/>
        </w:rPr>
        <w:t>c temperature driving</w:t>
      </w:r>
      <w:r w:rsidR="000B6582">
        <w:rPr>
          <w:rFonts w:ascii="Arial" w:hAnsi="Arial" w:cs="Arial"/>
        </w:rPr>
        <w:t xml:space="preserve"> </w:t>
      </w:r>
      <w:r w:rsidR="007366BE">
        <w:rPr>
          <w:rFonts w:ascii="Arial" w:hAnsi="Arial" w:cs="Arial"/>
        </w:rPr>
        <w:t>outgoing longwave flux (</w:t>
      </w:r>
      <w:r>
        <w:rPr>
          <w:rFonts w:ascii="Arial" w:hAnsi="Arial" w:cs="Arial"/>
        </w:rPr>
        <w:t>surface to atmosphere and space</w:t>
      </w:r>
      <w:r w:rsidR="007366B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="000B6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difference</w:t>
      </w:r>
      <w:r w:rsidR="000B6582">
        <w:rPr>
          <w:rFonts w:ascii="Arial" w:hAnsi="Arial" w:cs="Arial"/>
        </w:rPr>
        <w:t>s with air temperature control</w:t>
      </w:r>
      <w:r>
        <w:rPr>
          <w:rFonts w:ascii="Arial" w:hAnsi="Arial" w:cs="Arial"/>
        </w:rPr>
        <w:t xml:space="preserve"> sensible heat.</w:t>
      </w:r>
    </w:p>
    <w:p w:rsidR="00A50FFD" w:rsidRDefault="00A50FFD" w:rsidP="00A50FFD">
      <w:pPr>
        <w:jc w:val="both"/>
        <w:rPr>
          <w:rFonts w:ascii="Arial" w:hAnsi="Arial" w:cs="Arial"/>
        </w:rPr>
      </w:pPr>
    </w:p>
    <w:p w:rsidR="00A50FFD" w:rsidRDefault="00A50FFD" w:rsidP="00A50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increasing availabi</w:t>
      </w:r>
      <w:r w:rsidR="007366BE">
        <w:rPr>
          <w:rFonts w:ascii="Arial" w:hAnsi="Arial" w:cs="Arial"/>
        </w:rPr>
        <w:t xml:space="preserve">lity of long-term </w:t>
      </w:r>
      <w:r>
        <w:rPr>
          <w:rFonts w:ascii="Arial" w:hAnsi="Arial" w:cs="Arial"/>
        </w:rPr>
        <w:t>LST data and a much improved understandin</w:t>
      </w:r>
      <w:r w:rsidR="000B6582">
        <w:rPr>
          <w:rFonts w:ascii="Arial" w:hAnsi="Arial" w:cs="Arial"/>
        </w:rPr>
        <w:t xml:space="preserve">g of LST </w:t>
      </w:r>
      <w:r>
        <w:rPr>
          <w:rFonts w:ascii="Arial" w:hAnsi="Arial" w:cs="Arial"/>
        </w:rPr>
        <w:t xml:space="preserve">have </w:t>
      </w:r>
      <w:proofErr w:type="spellStart"/>
      <w:r>
        <w:rPr>
          <w:rFonts w:ascii="Arial" w:hAnsi="Arial" w:cs="Arial"/>
        </w:rPr>
        <w:t>galvanised</w:t>
      </w:r>
      <w:proofErr w:type="spellEnd"/>
      <w:r>
        <w:rPr>
          <w:rFonts w:ascii="Arial" w:hAnsi="Arial" w:cs="Arial"/>
        </w:rPr>
        <w:t xml:space="preserve"> an increasing numbe</w:t>
      </w:r>
      <w:r w:rsidR="00093097">
        <w:rPr>
          <w:rFonts w:ascii="Arial" w:hAnsi="Arial" w:cs="Arial"/>
        </w:rPr>
        <w:t xml:space="preserve">r of climate users, e.g., </w:t>
      </w:r>
      <w:r>
        <w:rPr>
          <w:rFonts w:ascii="Arial" w:hAnsi="Arial" w:cs="Arial"/>
        </w:rPr>
        <w:t>better representations of n</w:t>
      </w:r>
      <w:r w:rsidR="007366BE">
        <w:rPr>
          <w:rFonts w:ascii="Arial" w:hAnsi="Arial" w:cs="Arial"/>
        </w:rPr>
        <w:t>ear-surface air temperature; diagnosis of</w:t>
      </w:r>
      <w:r w:rsidR="00E80B69">
        <w:rPr>
          <w:rFonts w:ascii="Arial" w:hAnsi="Arial" w:cs="Arial"/>
        </w:rPr>
        <w:t xml:space="preserve"> dry spells in climate models; </w:t>
      </w:r>
      <w:r>
        <w:rPr>
          <w:rFonts w:ascii="Arial" w:hAnsi="Arial" w:cs="Arial"/>
        </w:rPr>
        <w:t>time series of surface t</w:t>
      </w:r>
      <w:r w:rsidR="007366BE">
        <w:rPr>
          <w:rFonts w:ascii="Arial" w:hAnsi="Arial" w:cs="Arial"/>
        </w:rPr>
        <w:t>emperature for the Arctic</w:t>
      </w:r>
      <w:r w:rsidR="000B6582">
        <w:rPr>
          <w:rFonts w:ascii="Arial" w:hAnsi="Arial" w:cs="Arial"/>
        </w:rPr>
        <w:t xml:space="preserve">. </w:t>
      </w:r>
      <w:r w:rsidR="007366BE">
        <w:rPr>
          <w:rFonts w:ascii="Arial" w:hAnsi="Arial" w:cs="Arial"/>
        </w:rPr>
        <w:t xml:space="preserve">LST is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as an important, driving</w:t>
      </w:r>
      <w:r w:rsidR="000B6582">
        <w:rPr>
          <w:rFonts w:ascii="Arial" w:hAnsi="Arial" w:cs="Arial"/>
        </w:rPr>
        <w:t xml:space="preserve"> physical</w:t>
      </w:r>
      <w:r>
        <w:rPr>
          <w:rFonts w:ascii="Arial" w:hAnsi="Arial" w:cs="Arial"/>
        </w:rPr>
        <w:t xml:space="preserve"> variable for the land surface in the climate sy</w:t>
      </w:r>
      <w:r w:rsidR="000B6582">
        <w:rPr>
          <w:rFonts w:ascii="Arial" w:hAnsi="Arial" w:cs="Arial"/>
        </w:rPr>
        <w:t>stem</w:t>
      </w:r>
      <w:r w:rsidR="007366BE">
        <w:rPr>
          <w:rFonts w:ascii="Arial" w:hAnsi="Arial" w:cs="Arial"/>
        </w:rPr>
        <w:t xml:space="preserve">, controlling </w:t>
      </w:r>
      <w:r>
        <w:rPr>
          <w:rFonts w:ascii="Arial" w:hAnsi="Arial" w:cs="Arial"/>
        </w:rPr>
        <w:t>par</w:t>
      </w:r>
      <w:r w:rsidR="000B6582">
        <w:rPr>
          <w:rFonts w:ascii="Arial" w:hAnsi="Arial" w:cs="Arial"/>
        </w:rPr>
        <w:t>titioning of ene</w:t>
      </w:r>
      <w:r w:rsidR="007366BE">
        <w:rPr>
          <w:rFonts w:ascii="Arial" w:hAnsi="Arial" w:cs="Arial"/>
        </w:rPr>
        <w:t>rgy and fluxes of water/carbon.</w:t>
      </w:r>
    </w:p>
    <w:p w:rsidR="00A50FFD" w:rsidRDefault="00A50FFD" w:rsidP="00A50FFD">
      <w:pPr>
        <w:jc w:val="both"/>
        <w:rPr>
          <w:rFonts w:ascii="Arial" w:hAnsi="Arial" w:cs="Arial"/>
        </w:rPr>
      </w:pPr>
    </w:p>
    <w:p w:rsidR="00A50FFD" w:rsidRDefault="00093097" w:rsidP="00A50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presentation, we </w:t>
      </w:r>
      <w:r w:rsidR="00A50FFD">
        <w:rPr>
          <w:rFonts w:ascii="Arial" w:hAnsi="Arial" w:cs="Arial"/>
        </w:rPr>
        <w:t xml:space="preserve">overview the </w:t>
      </w:r>
      <w:r w:rsidR="007366BE">
        <w:rPr>
          <w:rFonts w:ascii="Arial" w:hAnsi="Arial" w:cs="Arial"/>
        </w:rPr>
        <w:t xml:space="preserve">high </w:t>
      </w:r>
      <w:r w:rsidR="00A50FFD">
        <w:rPr>
          <w:rFonts w:ascii="Arial" w:hAnsi="Arial" w:cs="Arial"/>
        </w:rPr>
        <w:t>quality and</w:t>
      </w:r>
      <w:r>
        <w:rPr>
          <w:rFonts w:ascii="Arial" w:hAnsi="Arial" w:cs="Arial"/>
        </w:rPr>
        <w:t xml:space="preserve"> applicability </w:t>
      </w:r>
      <w:r w:rsidR="000321B4">
        <w:rPr>
          <w:rFonts w:ascii="Arial" w:hAnsi="Arial" w:cs="Arial"/>
        </w:rPr>
        <w:t xml:space="preserve">of </w:t>
      </w:r>
      <w:r w:rsidR="00A50FFD">
        <w:rPr>
          <w:rFonts w:ascii="Arial" w:hAnsi="Arial" w:cs="Arial"/>
        </w:rPr>
        <w:t>the longest serving</w:t>
      </w:r>
      <w:r>
        <w:rPr>
          <w:rFonts w:ascii="Arial" w:hAnsi="Arial" w:cs="Arial"/>
        </w:rPr>
        <w:t xml:space="preserve"> (&gt; 15 years)</w:t>
      </w:r>
      <w:r w:rsidR="00A50FFD">
        <w:rPr>
          <w:rFonts w:ascii="Arial" w:hAnsi="Arial" w:cs="Arial"/>
        </w:rPr>
        <w:t>, single sensor family data sets availab</w:t>
      </w:r>
      <w:r>
        <w:rPr>
          <w:rFonts w:ascii="Arial" w:hAnsi="Arial" w:cs="Arial"/>
        </w:rPr>
        <w:t xml:space="preserve">le from the </w:t>
      </w:r>
      <w:r w:rsidR="00A50FFD">
        <w:rPr>
          <w:rFonts w:ascii="Arial" w:hAnsi="Arial" w:cs="Arial"/>
        </w:rPr>
        <w:t xml:space="preserve">thermal infrared instruments, the Along Track Scanning Radiometers (ATSR) and Moderate Resolution </w:t>
      </w:r>
      <w:proofErr w:type="spellStart"/>
      <w:r w:rsidR="00A50FFD">
        <w:rPr>
          <w:rFonts w:ascii="Arial" w:hAnsi="Arial" w:cs="Arial"/>
        </w:rPr>
        <w:t>Spectro</w:t>
      </w:r>
      <w:proofErr w:type="spellEnd"/>
      <w:r w:rsidR="00A50FFD">
        <w:rPr>
          <w:rFonts w:ascii="Arial" w:hAnsi="Arial" w:cs="Arial"/>
        </w:rPr>
        <w:t xml:space="preserve">-radiometers </w:t>
      </w:r>
      <w:r>
        <w:rPr>
          <w:rFonts w:ascii="Arial" w:hAnsi="Arial" w:cs="Arial"/>
        </w:rPr>
        <w:t xml:space="preserve">(MODIS). We </w:t>
      </w:r>
      <w:r w:rsidR="00A50FFD">
        <w:rPr>
          <w:rFonts w:ascii="Arial" w:hAnsi="Arial" w:cs="Arial"/>
        </w:rPr>
        <w:t>show how algorithm performances hav</w:t>
      </w:r>
      <w:r w:rsidR="00E80B69">
        <w:rPr>
          <w:rFonts w:ascii="Arial" w:hAnsi="Arial" w:cs="Arial"/>
        </w:rPr>
        <w:t xml:space="preserve">e been verified and validated, </w:t>
      </w:r>
      <w:r w:rsidR="00A50FFD">
        <w:rPr>
          <w:rFonts w:ascii="Arial" w:hAnsi="Arial" w:cs="Arial"/>
        </w:rPr>
        <w:t>emphasizing the effects of new knowledge of emissiv</w:t>
      </w:r>
      <w:r>
        <w:rPr>
          <w:rFonts w:ascii="Arial" w:hAnsi="Arial" w:cs="Arial"/>
        </w:rPr>
        <w:t xml:space="preserve">ity, treatment of water </w:t>
      </w:r>
      <w:proofErr w:type="spellStart"/>
      <w:r>
        <w:rPr>
          <w:rFonts w:ascii="Arial" w:hAnsi="Arial" w:cs="Arial"/>
        </w:rPr>
        <w:t>vapour</w:t>
      </w:r>
      <w:proofErr w:type="spellEnd"/>
      <w:r>
        <w:rPr>
          <w:rFonts w:ascii="Arial" w:hAnsi="Arial" w:cs="Arial"/>
        </w:rPr>
        <w:t xml:space="preserve"> </w:t>
      </w:r>
      <w:r w:rsidR="00A50FFD">
        <w:rPr>
          <w:rFonts w:ascii="Arial" w:hAnsi="Arial" w:cs="Arial"/>
        </w:rPr>
        <w:t>and handling of cloud effects.</w:t>
      </w:r>
    </w:p>
    <w:p w:rsidR="00A50FFD" w:rsidRDefault="00A50FFD" w:rsidP="00A50FFD">
      <w:pPr>
        <w:jc w:val="both"/>
        <w:rPr>
          <w:rFonts w:ascii="Arial" w:hAnsi="Arial" w:cs="Arial"/>
        </w:rPr>
      </w:pPr>
    </w:p>
    <w:p w:rsidR="00A50FFD" w:rsidRDefault="00A50FFD" w:rsidP="00A50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efficacy of LST records for climate has been much improved b</w:t>
      </w:r>
      <w:r w:rsidR="00FD34CE">
        <w:rPr>
          <w:rFonts w:ascii="Arial" w:hAnsi="Arial" w:cs="Arial"/>
        </w:rPr>
        <w:t>y</w:t>
      </w:r>
      <w:r w:rsidR="00093097">
        <w:rPr>
          <w:rFonts w:ascii="Arial" w:hAnsi="Arial" w:cs="Arial"/>
        </w:rPr>
        <w:t xml:space="preserve">: </w:t>
      </w:r>
      <w:r w:rsidR="00FD34CE">
        <w:rPr>
          <w:rFonts w:ascii="Arial" w:hAnsi="Arial" w:cs="Arial"/>
        </w:rPr>
        <w:t>estimation</w:t>
      </w:r>
      <w:r w:rsidR="00A65A65">
        <w:rPr>
          <w:rFonts w:ascii="Arial" w:hAnsi="Arial" w:cs="Arial"/>
        </w:rPr>
        <w:t xml:space="preserve"> of contextual</w:t>
      </w:r>
      <w:r w:rsidR="000321B4">
        <w:rPr>
          <w:rFonts w:ascii="Arial" w:hAnsi="Arial" w:cs="Arial"/>
        </w:rPr>
        <w:t>,</w:t>
      </w:r>
      <w:r w:rsidR="00A65A65">
        <w:rPr>
          <w:rFonts w:ascii="Arial" w:hAnsi="Arial" w:cs="Arial"/>
        </w:rPr>
        <w:t xml:space="preserve"> pixel-level </w:t>
      </w:r>
      <w:r w:rsidR="00093097">
        <w:rPr>
          <w:rFonts w:ascii="Arial" w:hAnsi="Arial" w:cs="Arial"/>
        </w:rPr>
        <w:t xml:space="preserve">uncertainties; </w:t>
      </w:r>
      <w:r>
        <w:rPr>
          <w:rFonts w:ascii="Arial" w:hAnsi="Arial" w:cs="Arial"/>
        </w:rPr>
        <w:t>diurnal data sets from geostat</w:t>
      </w:r>
      <w:r w:rsidR="00093097">
        <w:rPr>
          <w:rFonts w:ascii="Arial" w:hAnsi="Arial" w:cs="Arial"/>
        </w:rPr>
        <w:t xml:space="preserve">ionary orbit (particularly the SEVIRI instrument); </w:t>
      </w:r>
      <w:proofErr w:type="spellStart"/>
      <w:r>
        <w:rPr>
          <w:rFonts w:ascii="Arial" w:hAnsi="Arial" w:cs="Arial"/>
        </w:rPr>
        <w:t>characterisation</w:t>
      </w:r>
      <w:proofErr w:type="spellEnd"/>
      <w:r>
        <w:rPr>
          <w:rFonts w:ascii="Arial" w:hAnsi="Arial" w:cs="Arial"/>
        </w:rPr>
        <w:t xml:space="preserve"> of clear versus cloudy sky bias through the use of re-</w:t>
      </w:r>
      <w:proofErr w:type="spellStart"/>
      <w:r>
        <w:rPr>
          <w:rFonts w:ascii="Arial" w:hAnsi="Arial" w:cs="Arial"/>
        </w:rPr>
        <w:t>a</w:t>
      </w:r>
      <w:r w:rsidR="00093097">
        <w:rPr>
          <w:rFonts w:ascii="Arial" w:hAnsi="Arial" w:cs="Arial"/>
        </w:rPr>
        <w:t>nalysed</w:t>
      </w:r>
      <w:proofErr w:type="spellEnd"/>
      <w:r w:rsidR="00093097">
        <w:rPr>
          <w:rFonts w:ascii="Arial" w:hAnsi="Arial" w:cs="Arial"/>
        </w:rPr>
        <w:t xml:space="preserve"> microwave data. We </w:t>
      </w:r>
      <w:r w:rsidR="007366BE">
        <w:rPr>
          <w:rFonts w:ascii="Arial" w:hAnsi="Arial" w:cs="Arial"/>
        </w:rPr>
        <w:t>highlight significant progress and provide</w:t>
      </w:r>
      <w:r>
        <w:rPr>
          <w:rFonts w:ascii="Arial" w:hAnsi="Arial" w:cs="Arial"/>
        </w:rPr>
        <w:t xml:space="preserve"> a</w:t>
      </w:r>
      <w:r w:rsidR="00A65A65">
        <w:rPr>
          <w:rFonts w:ascii="Arial" w:hAnsi="Arial" w:cs="Arial"/>
        </w:rPr>
        <w:t xml:space="preserve"> summary of state-of-the-art for</w:t>
      </w:r>
      <w:r>
        <w:rPr>
          <w:rFonts w:ascii="Arial" w:hAnsi="Arial" w:cs="Arial"/>
        </w:rPr>
        <w:t xml:space="preserve"> future long-term </w:t>
      </w:r>
      <w:r w:rsidR="000321B4">
        <w:rPr>
          <w:rFonts w:ascii="Arial" w:hAnsi="Arial" w:cs="Arial"/>
        </w:rPr>
        <w:t xml:space="preserve">data sets and analyses for LST; </w:t>
      </w:r>
      <w:r>
        <w:rPr>
          <w:rFonts w:ascii="Arial" w:hAnsi="Arial" w:cs="Arial"/>
        </w:rPr>
        <w:t>geostationary and microwave data will play key roles.</w:t>
      </w:r>
    </w:p>
    <w:p w:rsidR="00A50FFD" w:rsidRDefault="00A50FFD" w:rsidP="00A50FFD">
      <w:pPr>
        <w:jc w:val="both"/>
        <w:rPr>
          <w:rFonts w:ascii="Arial" w:hAnsi="Arial" w:cs="Arial"/>
        </w:rPr>
      </w:pPr>
    </w:p>
    <w:p w:rsidR="00CC27BC" w:rsidRPr="007366BE" w:rsidRDefault="00A50FFD" w:rsidP="00736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Progress in LST has been greatly enhanced through the efforts of the CEOI WGCV LPV subgroup (</w:t>
      </w:r>
      <w:hyperlink r:id="rId7" w:history="1">
        <w:r>
          <w:rPr>
            <w:rStyle w:val="Hyperlink"/>
            <w:rFonts w:ascii="Arial" w:hAnsi="Arial" w:cs="Arial"/>
          </w:rPr>
          <w:t>http://lpvs.gsfc.nasa.gov/LST_home.html</w:t>
        </w:r>
      </w:hyperlink>
      <w:r>
        <w:rPr>
          <w:rFonts w:ascii="Arial" w:hAnsi="Arial" w:cs="Arial"/>
        </w:rPr>
        <w:t>) and a new collective, the International Land Surface Temperature and Emiss</w:t>
      </w:r>
      <w:r w:rsidR="00093097">
        <w:rPr>
          <w:rFonts w:ascii="Arial" w:hAnsi="Arial" w:cs="Arial"/>
        </w:rPr>
        <w:t xml:space="preserve">ivity Working Group (ILSTE-WG) unifying users and providers </w:t>
      </w:r>
      <w:r>
        <w:rPr>
          <w:rFonts w:ascii="Arial" w:hAnsi="Arial" w:cs="Arial"/>
        </w:rPr>
        <w:t>(</w:t>
      </w:r>
      <w:hyperlink r:id="rId8" w:history="1">
        <w:r>
          <w:rPr>
            <w:rStyle w:val="Hyperlink"/>
            <w:rFonts w:ascii="Arial" w:hAnsi="Arial" w:cs="Arial"/>
          </w:rPr>
          <w:t>http://ilste-wg.org/</w:t>
        </w:r>
      </w:hyperlink>
      <w:r w:rsidR="00093097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>su</w:t>
      </w:r>
      <w:r w:rsidR="00093097">
        <w:rPr>
          <w:rFonts w:ascii="Arial" w:hAnsi="Arial" w:cs="Arial"/>
        </w:rPr>
        <w:t>ppo</w:t>
      </w:r>
      <w:r w:rsidR="000321B4">
        <w:rPr>
          <w:rFonts w:ascii="Arial" w:hAnsi="Arial" w:cs="Arial"/>
        </w:rPr>
        <w:t>rt has been provided</w:t>
      </w:r>
      <w:r w:rsidR="00093097">
        <w:rPr>
          <w:rFonts w:ascii="Arial" w:hAnsi="Arial" w:cs="Arial"/>
        </w:rPr>
        <w:t xml:space="preserve"> by</w:t>
      </w:r>
      <w:r w:rsidR="00E80B69">
        <w:rPr>
          <w:rFonts w:ascii="Arial" w:hAnsi="Arial" w:cs="Arial"/>
        </w:rPr>
        <w:t xml:space="preserve"> the ESA </w:t>
      </w:r>
      <w:proofErr w:type="spellStart"/>
      <w:r w:rsidR="00E80B69">
        <w:rPr>
          <w:rFonts w:ascii="Arial" w:hAnsi="Arial" w:cs="Arial"/>
        </w:rPr>
        <w:t>GlobTemperat</w:t>
      </w:r>
      <w:r>
        <w:rPr>
          <w:rFonts w:ascii="Arial" w:hAnsi="Arial" w:cs="Arial"/>
        </w:rPr>
        <w:t>ure</w:t>
      </w:r>
      <w:proofErr w:type="spellEnd"/>
      <w:r>
        <w:rPr>
          <w:rFonts w:ascii="Arial" w:hAnsi="Arial" w:cs="Arial"/>
        </w:rPr>
        <w:t xml:space="preserve"> and NASA Measures projects.</w:t>
      </w:r>
      <w:bookmarkEnd w:id="0"/>
    </w:p>
    <w:sectPr w:rsidR="00CC27BC" w:rsidRPr="007366BE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8E" w:rsidRDefault="0022338E">
      <w:r>
        <w:separator/>
      </w:r>
    </w:p>
  </w:endnote>
  <w:endnote w:type="continuationSeparator" w:id="0">
    <w:p w:rsidR="0022338E" w:rsidRDefault="002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8E" w:rsidRDefault="0022338E">
      <w:r>
        <w:separator/>
      </w:r>
    </w:p>
  </w:footnote>
  <w:footnote w:type="continuationSeparator" w:id="0">
    <w:p w:rsidR="0022338E" w:rsidRDefault="002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321B4"/>
    <w:rsid w:val="00042B46"/>
    <w:rsid w:val="00047560"/>
    <w:rsid w:val="00062DBE"/>
    <w:rsid w:val="00076483"/>
    <w:rsid w:val="00087187"/>
    <w:rsid w:val="00093097"/>
    <w:rsid w:val="0009381E"/>
    <w:rsid w:val="000A4AA1"/>
    <w:rsid w:val="000B0066"/>
    <w:rsid w:val="000B39B6"/>
    <w:rsid w:val="000B6582"/>
    <w:rsid w:val="000E365D"/>
    <w:rsid w:val="00122CCB"/>
    <w:rsid w:val="00171F5F"/>
    <w:rsid w:val="0018714D"/>
    <w:rsid w:val="001B6543"/>
    <w:rsid w:val="001D28A5"/>
    <w:rsid w:val="001E1672"/>
    <w:rsid w:val="001F09A0"/>
    <w:rsid w:val="0022338E"/>
    <w:rsid w:val="00231594"/>
    <w:rsid w:val="00245941"/>
    <w:rsid w:val="00263773"/>
    <w:rsid w:val="00271E87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366BE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4DE"/>
    <w:rsid w:val="00945F4A"/>
    <w:rsid w:val="00946EB7"/>
    <w:rsid w:val="00951479"/>
    <w:rsid w:val="009852E5"/>
    <w:rsid w:val="00995A74"/>
    <w:rsid w:val="009B3721"/>
    <w:rsid w:val="009B4C9A"/>
    <w:rsid w:val="009C7BE4"/>
    <w:rsid w:val="009E5ED3"/>
    <w:rsid w:val="00A01D19"/>
    <w:rsid w:val="00A058D5"/>
    <w:rsid w:val="00A50FFD"/>
    <w:rsid w:val="00A52E1A"/>
    <w:rsid w:val="00A640ED"/>
    <w:rsid w:val="00A65A65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DC6C8B"/>
    <w:rsid w:val="00E31672"/>
    <w:rsid w:val="00E32BDD"/>
    <w:rsid w:val="00E36F1D"/>
    <w:rsid w:val="00E520B9"/>
    <w:rsid w:val="00E56D22"/>
    <w:rsid w:val="00E80B69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D34CE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0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ste-w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vs.gsfc.nasa.gov/LST_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2015-12-16T09:16:00Z</dcterms:created>
  <dcterms:modified xsi:type="dcterms:W3CDTF">2015-12-16T09:16:00Z</dcterms:modified>
</cp:coreProperties>
</file>